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color w:val="000000"/>
          <w:sz w:val="30"/>
          <w:szCs w:val="30"/>
        </w:rPr>
      </w:pPr>
      <w:bookmarkStart w:colFirst="0" w:colLast="0" w:name="_4h33abrz4w1a" w:id="0"/>
      <w:bookmarkEnd w:id="0"/>
      <w:r w:rsidDel="00000000" w:rsidR="00000000" w:rsidRPr="00000000">
        <w:rPr>
          <w:color w:val="000000"/>
          <w:sz w:val="30"/>
          <w:szCs w:val="30"/>
          <w:rtl w:val="0"/>
        </w:rPr>
        <w:t xml:space="preserve">Checklist - </w:t>
      </w:r>
      <w:r w:rsidDel="00000000" w:rsidR="00000000" w:rsidRPr="00000000">
        <w:rPr>
          <w:color w:val="000000"/>
          <w:sz w:val="30"/>
          <w:szCs w:val="30"/>
          <w:rtl w:val="0"/>
        </w:rPr>
        <w:t xml:space="preserve">Procurement of Technical Services &amp;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/>
      </w:pPr>
      <w:r w:rsidDel="00000000" w:rsidR="00000000" w:rsidRPr="00000000">
        <w:rPr>
          <w:rtl w:val="0"/>
        </w:rPr>
        <w:t xml:space="preserve">This checklist is designed to help a school evaluate the offerings from different providers.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/>
      </w:pPr>
      <w:r w:rsidDel="00000000" w:rsidR="00000000" w:rsidRPr="00000000">
        <w:rPr>
          <w:rtl w:val="0"/>
        </w:rPr>
        <w:t xml:space="preserve">The evaluation team </w:t>
      </w:r>
      <w:r w:rsidDel="00000000" w:rsidR="00000000" w:rsidRPr="00000000">
        <w:rPr>
          <w:rtl w:val="0"/>
        </w:rPr>
        <w:t xml:space="preserve">should</w:t>
      </w:r>
      <w:r w:rsidDel="00000000" w:rsidR="00000000" w:rsidRPr="00000000">
        <w:rPr>
          <w:rtl w:val="0"/>
        </w:rPr>
        <w:t xml:space="preserve"> note the pluses, minuses and things of interest or missing information (PMI) for each submission. This could be based on the relevant parts of the </w:t>
      </w:r>
      <w:r w:rsidDel="00000000" w:rsidR="00000000" w:rsidRPr="00000000">
        <w:rPr>
          <w:rtl w:val="0"/>
        </w:rPr>
        <w:t xml:space="preserve">checklist </w:t>
      </w:r>
      <w:r w:rsidDel="00000000" w:rsidR="00000000" w:rsidRPr="00000000">
        <w:rPr>
          <w:rtl w:val="0"/>
        </w:rPr>
        <w:t xml:space="preserve">below</w:t>
      </w:r>
      <w:r w:rsidDel="00000000" w:rsidR="00000000" w:rsidRPr="00000000">
        <w:rPr>
          <w:rtl w:val="0"/>
        </w:rPr>
        <w:t xml:space="preserve"> to help, along with </w:t>
      </w:r>
      <w:r w:rsidDel="00000000" w:rsidR="00000000" w:rsidRPr="00000000">
        <w:rPr>
          <w:rtl w:val="0"/>
        </w:rPr>
        <w:t xml:space="preserve">your</w:t>
      </w:r>
      <w:r w:rsidDel="00000000" w:rsidR="00000000" w:rsidRPr="00000000">
        <w:rPr>
          <w:rtl w:val="0"/>
        </w:rPr>
        <w:t xml:space="preserve"> school’s own specific requirements.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95.0" w:type="dxa"/>
        <w:jc w:val="left"/>
        <w:tblInd w:w="-15.0" w:type="dxa"/>
        <w:tblBorders>
          <w:insideH w:color="a6a6a6" w:space="0" w:sz="8" w:val="single"/>
          <w:insideV w:color="a6a6a6" w:space="0" w:sz="8" w:val="single"/>
        </w:tblBorders>
        <w:tblLayout w:type="fixed"/>
        <w:tblLook w:val="0600"/>
      </w:tblPr>
      <w:tblGrid>
        <w:gridCol w:w="1515"/>
        <w:gridCol w:w="3855"/>
        <w:gridCol w:w="2775"/>
        <w:gridCol w:w="2775"/>
        <w:gridCol w:w="2775"/>
        <w:tblGridChange w:id="0">
          <w:tblGrid>
            <w:gridCol w:w="1515"/>
            <w:gridCol w:w="3855"/>
            <w:gridCol w:w="2775"/>
            <w:gridCol w:w="2775"/>
            <w:gridCol w:w="2775"/>
          </w:tblGrid>
        </w:tblGridChange>
      </w:tblGrid>
      <w:tr>
        <w:trPr>
          <w:trHeight w:val="520" w:hRule="atLeast"/>
        </w:trPr>
        <w:tc>
          <w:tcPr>
            <w:gridSpan w:val="5"/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rPr/>
            </w:pPr>
            <w:bookmarkStart w:colFirst="0" w:colLast="0" w:name="_vrtyfqbviki3" w:id="1"/>
            <w:bookmarkEnd w:id="1"/>
            <w:r w:rsidDel="00000000" w:rsidR="00000000" w:rsidRPr="00000000">
              <w:rPr>
                <w:rtl w:val="0"/>
              </w:rPr>
              <w:t xml:space="preserve">Company Profile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Notes / PMI - 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Provider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Notes / PMI -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Provider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Notes / PMI - 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Provider 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Background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Company history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Company ownership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Company structure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Company vision and future plans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Has professional indemnity insurance?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Personnel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Number of staff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Geographic locations of staff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Breadth and depth of staff experience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Technical abilities of staff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Technical qualifications of staff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Are staff police vetted?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Interpersonal and communication abilities of staff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Will the provider’s staff work well with the school’s staff to form positive, collaborative relationships?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Are conflicts of interest declared?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Approach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Is the approach focussed on the needs of teachers and students rather than pushing particular technologies?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Does the company offer value added items beneficial to the overall service such as seminars, events, newsletters etc?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Is there an alignment of the values and approach of the company with the school’s own values and approach?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Will the company work openly with other providers?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Will the company install and support hardware/services that have not been provided by the company?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Is there anything that stands out as being risky or uncertain about the company itself or the services and solutions that are being proposed?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5"/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rPr/>
            </w:pPr>
            <w:bookmarkStart w:colFirst="0" w:colLast="0" w:name="_eno8x4cypgri" w:id="2"/>
            <w:bookmarkEnd w:id="2"/>
            <w:r w:rsidDel="00000000" w:rsidR="00000000" w:rsidRPr="00000000">
              <w:rPr>
                <w:rtl w:val="0"/>
              </w:rPr>
              <w:t xml:space="preserve">Technical Services 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Depth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Are the level of technical services offered suitable for the school?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Are the quality of technical services offered suitable for the school?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What are the escalation pathways for  technical issues?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Breadth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How well does the company offer a range of technical services that meet the school’s needs such as: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Strategic Planning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Solutions Architecture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Technical Implementation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Project Management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Proactive On-going Maintenance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Reactive Support Services?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30" w:hanging="360"/>
              <w:rPr/>
            </w:pPr>
            <w:r w:rsidDel="00000000" w:rsidR="00000000" w:rsidRPr="00000000">
              <w:rPr>
                <w:rtl w:val="0"/>
              </w:rPr>
              <w:t xml:space="preserve">Will the ‘best fit’ solution always be offered or will the solution be limited to one that the company is a reseller / vendor of?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Future Looking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What is the company’s ability to provide good advice on future trends and technologies?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What is the company’s ability to innovate and implement emerging technologies?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Do they demonstrate a commitment to invest in research &amp; development for new solutions and technologies rather than staying with what has always been done?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Service Expectations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30" w:hanging="360"/>
              <w:rPr/>
            </w:pPr>
            <w:r w:rsidDel="00000000" w:rsidR="00000000" w:rsidRPr="00000000">
              <w:rPr>
                <w:rtl w:val="0"/>
              </w:rPr>
              <w:t xml:space="preserve">Who can the school expect to liaise with for: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1500" w:hanging="360"/>
              <w:rPr/>
            </w:pPr>
            <w:r w:rsidDel="00000000" w:rsidR="00000000" w:rsidRPr="00000000">
              <w:rPr>
                <w:rtl w:val="0"/>
              </w:rPr>
              <w:t xml:space="preserve">Planning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1500" w:hanging="360"/>
              <w:rPr/>
            </w:pPr>
            <w:r w:rsidDel="00000000" w:rsidR="00000000" w:rsidRPr="00000000">
              <w:rPr>
                <w:rtl w:val="0"/>
              </w:rPr>
              <w:t xml:space="preserve">Procurement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1500" w:hanging="360"/>
              <w:rPr/>
            </w:pPr>
            <w:r w:rsidDel="00000000" w:rsidR="00000000" w:rsidRPr="00000000">
              <w:rPr>
                <w:rtl w:val="0"/>
              </w:rPr>
              <w:t xml:space="preserve">On-site regular technical support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1500" w:hanging="360"/>
              <w:rPr/>
            </w:pPr>
            <w:r w:rsidDel="00000000" w:rsidR="00000000" w:rsidRPr="00000000">
              <w:rPr>
                <w:rtl w:val="0"/>
              </w:rPr>
              <w:t xml:space="preserve">Remote ad-hoc technical support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1500" w:hanging="360"/>
              <w:rPr/>
            </w:pPr>
            <w:r w:rsidDel="00000000" w:rsidR="00000000" w:rsidRPr="00000000">
              <w:rPr>
                <w:rtl w:val="0"/>
              </w:rPr>
              <w:t xml:space="preserve">Project work?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30" w:hanging="360"/>
              <w:rPr/>
            </w:pPr>
            <w:r w:rsidDel="00000000" w:rsidR="00000000" w:rsidRPr="00000000">
              <w:rPr>
                <w:rtl w:val="0"/>
              </w:rPr>
              <w:t xml:space="preserve">How often are these liaison people likely to be replaced?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30" w:hanging="360"/>
              <w:rPr/>
            </w:pPr>
            <w:r w:rsidDel="00000000" w:rsidR="00000000" w:rsidRPr="00000000">
              <w:rPr>
                <w:rtl w:val="0"/>
              </w:rPr>
              <w:t xml:space="preserve">How will requests for support be prioritised and handled?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3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soon will support take place?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30" w:hanging="360"/>
              <w:rPr/>
            </w:pPr>
            <w:r w:rsidDel="00000000" w:rsidR="00000000" w:rsidRPr="00000000">
              <w:rPr>
                <w:rtl w:val="0"/>
              </w:rPr>
              <w:t xml:space="preserve">What technical monitoring and reporting can the school expect?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30" w:hanging="360"/>
              <w:rPr/>
            </w:pPr>
            <w:r w:rsidDel="00000000" w:rsidR="00000000" w:rsidRPr="00000000">
              <w:rPr>
                <w:rtl w:val="0"/>
              </w:rPr>
              <w:t xml:space="preserve">What technical documentation and record-keeping can the school expect? (eg passwords, configurations, inventories, records of the maintenance and servicing done)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30" w:hanging="360"/>
              <w:rPr/>
            </w:pPr>
            <w:r w:rsidDel="00000000" w:rsidR="00000000" w:rsidRPr="00000000">
              <w:rPr>
                <w:rtl w:val="0"/>
              </w:rPr>
              <w:t xml:space="preserve">What hardware and software will be supported?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30" w:hanging="360"/>
              <w:rPr/>
            </w:pPr>
            <w:r w:rsidDel="00000000" w:rsidR="00000000" w:rsidRPr="00000000">
              <w:rPr>
                <w:rtl w:val="0"/>
              </w:rPr>
              <w:t xml:space="preserve">Will support be on-site, remote or both?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5"/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rPr/>
            </w:pPr>
            <w:bookmarkStart w:colFirst="0" w:colLast="0" w:name="_b788umbbuuku" w:id="3"/>
            <w:bookmarkEnd w:id="3"/>
            <w:r w:rsidDel="00000000" w:rsidR="00000000" w:rsidRPr="00000000">
              <w:rPr>
                <w:rtl w:val="0"/>
              </w:rPr>
              <w:t xml:space="preserve">Track Record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References sought from at least two other schools of similar scale and with similar technologies?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Proven ability to provide prompt and effective resolution of problems, issues and incidents?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Turnover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What has the recent staff turnover been?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5"/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rPr/>
            </w:pPr>
            <w:bookmarkStart w:colFirst="0" w:colLast="0" w:name="_gy125kujzqwg" w:id="4"/>
            <w:bookmarkEnd w:id="4"/>
            <w:r w:rsidDel="00000000" w:rsidR="00000000" w:rsidRPr="00000000">
              <w:rPr>
                <w:rtl w:val="0"/>
              </w:rPr>
              <w:t xml:space="preserve">Support Contract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Tangibles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Length of contract term?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Monthly price?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What is included in the monthly price?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items are not covered by the contract? 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are you not allowed to do under the contract?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Intangibles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What is not included in monthly price?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What are the expected costs of these things?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26" w:hanging="360"/>
              <w:rPr/>
            </w:pPr>
            <w:r w:rsidDel="00000000" w:rsidR="00000000" w:rsidRPr="00000000">
              <w:rPr>
                <w:rtl w:val="0"/>
              </w:rPr>
              <w:t xml:space="preserve">How to change or cancel the contract due to changing needs or poor performance?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30" w:hanging="360"/>
              <w:rPr/>
            </w:pPr>
            <w:r w:rsidDel="00000000" w:rsidR="00000000" w:rsidRPr="00000000">
              <w:rPr>
                <w:rtl w:val="0"/>
              </w:rPr>
              <w:t xml:space="preserve">Dispute resolution?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30" w:hanging="360"/>
              <w:rPr/>
            </w:pPr>
            <w:r w:rsidDel="00000000" w:rsidR="00000000" w:rsidRPr="00000000">
              <w:rPr>
                <w:rtl w:val="0"/>
              </w:rPr>
              <w:t xml:space="preserve">Covered by NZ law?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30" w:hanging="360"/>
              <w:rPr/>
            </w:pPr>
            <w:r w:rsidDel="00000000" w:rsidR="00000000" w:rsidRPr="00000000">
              <w:rPr>
                <w:rtl w:val="0"/>
              </w:rPr>
              <w:t xml:space="preserve">Confidentiality clause?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30" w:hanging="360"/>
              <w:rPr/>
            </w:pPr>
            <w:r w:rsidDel="00000000" w:rsidR="00000000" w:rsidRPr="00000000">
              <w:rPr>
                <w:rtl w:val="0"/>
              </w:rPr>
              <w:t xml:space="preserve">If uncertain, get legal advice.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5"/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rPr/>
            </w:pPr>
            <w:bookmarkStart w:colFirst="0" w:colLast="0" w:name="_qsdboubc1b9v" w:id="5"/>
            <w:bookmarkEnd w:id="5"/>
            <w:r w:rsidDel="00000000" w:rsidR="00000000" w:rsidRPr="00000000">
              <w:rPr>
                <w:rtl w:val="0"/>
              </w:rPr>
              <w:t xml:space="preserve">Specific Requirements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List your specific requirements that are not covered above here: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3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3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ind w:left="33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540774" cy="190500"/>
            <wp:effectExtent b="0" l="0" r="0" t="0"/>
            <wp:docPr descr="88x31.png" id="1" name="image1.png"/>
            <a:graphic>
              <a:graphicData uri="http://schemas.openxmlformats.org/drawingml/2006/picture">
                <pic:pic>
                  <pic:nvPicPr>
                    <pic:cNvPr descr="88x31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774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16"/>
          <w:szCs w:val="16"/>
          <w:rtl w:val="0"/>
        </w:rPr>
        <w:t xml:space="preserve">This work is licensed under a </w:t>
      </w:r>
      <w:hyperlink r:id="rId7">
        <w:r w:rsidDel="00000000" w:rsidR="00000000" w:rsidRPr="00000000">
          <w:rPr>
            <w:color w:val="666666"/>
            <w:sz w:val="16"/>
            <w:szCs w:val="16"/>
            <w:u w:val="single"/>
            <w:rtl w:val="0"/>
          </w:rPr>
          <w:t xml:space="preserve">Creative Commons Attribution 4.0 International License</w:t>
        </w:r>
      </w:hyperlink>
      <w:r w:rsidDel="00000000" w:rsidR="00000000" w:rsidRPr="00000000">
        <w:rPr>
          <w:color w:val="666666"/>
          <w:sz w:val="16"/>
          <w:szCs w:val="16"/>
          <w:rtl w:val="0"/>
        </w:rPr>
        <w:t xml:space="preserve">.  Produced for the Ministry of Education’s </w:t>
      </w:r>
      <w:hyperlink r:id="rId8">
        <w:r w:rsidDel="00000000" w:rsidR="00000000" w:rsidRPr="00000000">
          <w:rPr>
            <w:color w:val="666666"/>
            <w:sz w:val="16"/>
            <w:szCs w:val="16"/>
            <w:u w:val="single"/>
            <w:rtl w:val="0"/>
          </w:rPr>
          <w:t xml:space="preserve">Connected Learning Advisory</w:t>
        </w:r>
      </w:hyperlink>
      <w:r w:rsidDel="00000000" w:rsidR="00000000" w:rsidRPr="00000000">
        <w:rPr>
          <w:color w:val="666666"/>
          <w:sz w:val="16"/>
          <w:szCs w:val="16"/>
          <w:rtl w:val="0"/>
        </w:rPr>
        <w:t xml:space="preserve"> by </w:t>
      </w:r>
      <w:hyperlink r:id="rId9">
        <w:r w:rsidDel="00000000" w:rsidR="00000000" w:rsidRPr="00000000">
          <w:rPr>
            <w:color w:val="666666"/>
            <w:sz w:val="16"/>
            <w:szCs w:val="16"/>
            <w:u w:val="single"/>
            <w:rtl w:val="0"/>
          </w:rPr>
          <w:t xml:space="preserve">CORE Education</w:t>
        </w:r>
      </w:hyperlink>
      <w:r w:rsidDel="00000000" w:rsidR="00000000" w:rsidRPr="00000000">
        <w:fldChar w:fldCharType="begin"/>
        <w:instrText xml:space="preserve"> HYPERLINK "http://www.core-ed.org/"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/>
      </w:pPr>
      <w:r w:rsidDel="00000000" w:rsidR="00000000" w:rsidRPr="00000000">
        <w:fldChar w:fldCharType="end"/>
      </w:r>
      <w:r w:rsidDel="00000000" w:rsidR="00000000" w:rsidRPr="00000000">
        <w:rPr>
          <w:color w:val="666666"/>
          <w:sz w:val="16"/>
          <w:szCs w:val="16"/>
          <w:rtl w:val="0"/>
        </w:rPr>
        <w:t xml:space="preserve">Last Updated:  23-3-2016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1906" w:w="16838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="276" w:lineRule="auto"/>
    </w:pPr>
    <w:rPr>
      <w:b w:val="1"/>
      <w:color w:val="0b5394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360" w:line="360" w:lineRule="auto"/>
    </w:pPr>
    <w:rPr>
      <w:b w:val="1"/>
      <w:color w:val="0b539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00" w:lineRule="auto"/>
      <w:ind w:left="360"/>
    </w:pPr>
    <w:rPr>
      <w:b w:val="1"/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core-ed.org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creativecommons.org/licenses/by/4.0/" TargetMode="External"/><Relationship Id="rId8" Type="http://schemas.openxmlformats.org/officeDocument/2006/relationships/hyperlink" Target="http://elearning.tki.org.nz/Ministry-initiatives/Connected-Learning-Advisory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